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0B" w:rsidRPr="0001400B" w:rsidRDefault="0001400B">
      <w:pPr>
        <w:rPr>
          <w:b/>
          <w:sz w:val="36"/>
          <w:szCs w:val="36"/>
        </w:rPr>
      </w:pPr>
      <w:r w:rsidRPr="0001400B">
        <w:rPr>
          <w:b/>
          <w:sz w:val="36"/>
          <w:szCs w:val="36"/>
        </w:rPr>
        <w:t>EVIDENCIJA SKLOPLJENIH UGOVORA  - 2020.g.</w:t>
      </w:r>
    </w:p>
    <w:tbl>
      <w:tblPr>
        <w:tblStyle w:val="Srednjesjenanje2-Isticanje5"/>
        <w:tblW w:w="5000" w:type="pct"/>
        <w:tblLook w:val="0660" w:firstRow="1" w:lastRow="1" w:firstColumn="0" w:lastColumn="0" w:noHBand="1" w:noVBand="1"/>
      </w:tblPr>
      <w:tblGrid>
        <w:gridCol w:w="2604"/>
        <w:gridCol w:w="2266"/>
        <w:gridCol w:w="2267"/>
        <w:gridCol w:w="2269"/>
      </w:tblGrid>
      <w:tr w:rsidR="0001400B" w:rsidTr="00230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pct"/>
            <w:noWrap/>
          </w:tcPr>
          <w:p w:rsidR="0001400B" w:rsidRDefault="0001400B">
            <w:r>
              <w:t>Poslovni subjekt</w:t>
            </w:r>
          </w:p>
        </w:tc>
        <w:tc>
          <w:tcPr>
            <w:tcW w:w="1205" w:type="pct"/>
          </w:tcPr>
          <w:p w:rsidR="0001400B" w:rsidRDefault="0001400B">
            <w:r>
              <w:t>Usluga</w:t>
            </w:r>
          </w:p>
        </w:tc>
        <w:tc>
          <w:tcPr>
            <w:tcW w:w="1205" w:type="pct"/>
          </w:tcPr>
          <w:p w:rsidR="0001400B" w:rsidRDefault="0001400B">
            <w:r>
              <w:t>Iznos</w:t>
            </w:r>
          </w:p>
        </w:tc>
        <w:tc>
          <w:tcPr>
            <w:tcW w:w="1206" w:type="pct"/>
          </w:tcPr>
          <w:p w:rsidR="0001400B" w:rsidRDefault="0001400B">
            <w:r>
              <w:t>Način sklapanja</w:t>
            </w:r>
          </w:p>
        </w:tc>
      </w:tr>
      <w:tr w:rsidR="0001400B" w:rsidTr="00230E17">
        <w:tc>
          <w:tcPr>
            <w:tcW w:w="1384" w:type="pct"/>
            <w:noWrap/>
          </w:tcPr>
          <w:p w:rsidR="0001400B" w:rsidRDefault="0001400B"/>
        </w:tc>
        <w:tc>
          <w:tcPr>
            <w:tcW w:w="1205" w:type="pct"/>
          </w:tcPr>
          <w:p w:rsidR="0001400B" w:rsidRDefault="0001400B">
            <w:pPr>
              <w:rPr>
                <w:rStyle w:val="Neupadljivoisticanje"/>
              </w:rPr>
            </w:pPr>
          </w:p>
        </w:tc>
        <w:tc>
          <w:tcPr>
            <w:tcW w:w="1205" w:type="pct"/>
          </w:tcPr>
          <w:p w:rsidR="0001400B" w:rsidRDefault="0001400B"/>
        </w:tc>
        <w:tc>
          <w:tcPr>
            <w:tcW w:w="1206" w:type="pct"/>
          </w:tcPr>
          <w:p w:rsidR="0001400B" w:rsidRDefault="0001400B"/>
        </w:tc>
      </w:tr>
      <w:tr w:rsidR="0001400B" w:rsidTr="00230E17">
        <w:tc>
          <w:tcPr>
            <w:tcW w:w="1384" w:type="pct"/>
            <w:noWrap/>
          </w:tcPr>
          <w:p w:rsidR="0001400B" w:rsidRDefault="0001400B">
            <w:r>
              <w:t>Destinations F-tours d.o.o.</w:t>
            </w:r>
          </w:p>
        </w:tc>
        <w:tc>
          <w:tcPr>
            <w:tcW w:w="1205" w:type="pct"/>
          </w:tcPr>
          <w:p w:rsidR="0001400B" w:rsidRDefault="0001400B">
            <w:pPr>
              <w:pStyle w:val="DecimalAligned"/>
              <w:rPr>
                <w:lang w:val="hr-HR"/>
              </w:rPr>
            </w:pPr>
            <w:r>
              <w:rPr>
                <w:lang w:val="hr-HR"/>
              </w:rPr>
              <w:t>Usluge putničke agencije za prijevoz učenika i osoba u pratnji u Španjolsku</w:t>
            </w:r>
          </w:p>
          <w:p w:rsidR="0001400B" w:rsidRDefault="0001400B">
            <w:pPr>
              <w:pStyle w:val="DecimalAligned"/>
            </w:pPr>
            <w:r>
              <w:rPr>
                <w:lang w:val="hr-HR"/>
              </w:rPr>
              <w:t>(ERASMUS +)</w:t>
            </w:r>
          </w:p>
        </w:tc>
        <w:tc>
          <w:tcPr>
            <w:tcW w:w="1205" w:type="pct"/>
          </w:tcPr>
          <w:p w:rsidR="0001400B" w:rsidRDefault="0001400B">
            <w:pPr>
              <w:pStyle w:val="DecimalAligned"/>
            </w:pPr>
            <w:r>
              <w:rPr>
                <w:lang w:val="hr-HR"/>
              </w:rPr>
              <w:t>69.000,00</w:t>
            </w:r>
          </w:p>
        </w:tc>
        <w:tc>
          <w:tcPr>
            <w:tcW w:w="1206" w:type="pct"/>
          </w:tcPr>
          <w:p w:rsidR="0001400B" w:rsidRDefault="0001400B">
            <w:pPr>
              <w:pStyle w:val="DecimalAligned"/>
            </w:pPr>
            <w:r>
              <w:rPr>
                <w:lang w:val="hr-HR"/>
              </w:rPr>
              <w:t>narudžbenica</w:t>
            </w:r>
          </w:p>
        </w:tc>
      </w:tr>
      <w:tr w:rsidR="0001400B" w:rsidTr="00230E17">
        <w:tc>
          <w:tcPr>
            <w:tcW w:w="1384" w:type="pct"/>
            <w:noWrap/>
          </w:tcPr>
          <w:p w:rsidR="0001400B" w:rsidRDefault="0001400B">
            <w:r>
              <w:t>RETIS INFORMATIKA d.o.o.</w:t>
            </w:r>
          </w:p>
        </w:tc>
        <w:tc>
          <w:tcPr>
            <w:tcW w:w="1205" w:type="pct"/>
          </w:tcPr>
          <w:p w:rsidR="0001400B" w:rsidRDefault="0001400B">
            <w:pPr>
              <w:pStyle w:val="DecimalAligned"/>
            </w:pPr>
            <w:r>
              <w:rPr>
                <w:lang w:val="hr-HR"/>
              </w:rPr>
              <w:t>nabava računalne opreme</w:t>
            </w:r>
          </w:p>
        </w:tc>
        <w:tc>
          <w:tcPr>
            <w:tcW w:w="1205" w:type="pct"/>
          </w:tcPr>
          <w:p w:rsidR="0001400B" w:rsidRDefault="00230E17">
            <w:pPr>
              <w:pStyle w:val="DecimalAligned"/>
            </w:pPr>
            <w:r>
              <w:rPr>
                <w:lang w:val="hr-HR"/>
              </w:rPr>
              <w:t>23.966,00</w:t>
            </w:r>
          </w:p>
        </w:tc>
        <w:tc>
          <w:tcPr>
            <w:tcW w:w="1206" w:type="pct"/>
          </w:tcPr>
          <w:p w:rsidR="0001400B" w:rsidRDefault="00230E17">
            <w:pPr>
              <w:pStyle w:val="DecimalAligned"/>
            </w:pPr>
            <w:r>
              <w:rPr>
                <w:lang w:val="hr-HR"/>
              </w:rPr>
              <w:t>narudžbenica</w:t>
            </w:r>
          </w:p>
        </w:tc>
      </w:tr>
      <w:tr w:rsidR="0001400B" w:rsidTr="00230E17">
        <w:tc>
          <w:tcPr>
            <w:tcW w:w="1384" w:type="pct"/>
            <w:noWrap/>
          </w:tcPr>
          <w:p w:rsidR="0001400B" w:rsidRDefault="00230E17">
            <w:r>
              <w:t>HEP-Opskrba d.o.o.</w:t>
            </w:r>
          </w:p>
        </w:tc>
        <w:tc>
          <w:tcPr>
            <w:tcW w:w="1205" w:type="pct"/>
          </w:tcPr>
          <w:p w:rsidR="0001400B" w:rsidRDefault="00230E17" w:rsidP="00230E17">
            <w:pPr>
              <w:pStyle w:val="DecimalAligned"/>
              <w:tabs>
                <w:tab w:val="center" w:pos="1025"/>
              </w:tabs>
            </w:pPr>
            <w:r>
              <w:rPr>
                <w:lang w:val="hr-HR"/>
              </w:rPr>
              <w:t>Zajednička nabava električne energije Zadarske županije i krajnjih korisnika</w:t>
            </w:r>
            <w:r>
              <w:rPr>
                <w:lang w:val="hr-HR"/>
              </w:rPr>
              <w:tab/>
            </w:r>
          </w:p>
        </w:tc>
        <w:tc>
          <w:tcPr>
            <w:tcW w:w="1205" w:type="pct"/>
          </w:tcPr>
          <w:p w:rsidR="0001400B" w:rsidRDefault="00230E17">
            <w:pPr>
              <w:pStyle w:val="DecimalAligned"/>
            </w:pPr>
            <w:r>
              <w:rPr>
                <w:lang w:val="hr-HR"/>
              </w:rPr>
              <w:t>16.978,98</w:t>
            </w:r>
          </w:p>
        </w:tc>
        <w:tc>
          <w:tcPr>
            <w:tcW w:w="1206" w:type="pct"/>
          </w:tcPr>
          <w:p w:rsidR="0001400B" w:rsidRDefault="00230E17">
            <w:pPr>
              <w:pStyle w:val="DecimalAligned"/>
            </w:pPr>
            <w:r>
              <w:rPr>
                <w:lang w:val="hr-HR"/>
              </w:rPr>
              <w:t>ugovor</w:t>
            </w:r>
          </w:p>
        </w:tc>
      </w:tr>
      <w:tr w:rsidR="0001400B" w:rsidTr="00230E17">
        <w:tc>
          <w:tcPr>
            <w:tcW w:w="1384" w:type="pct"/>
            <w:noWrap/>
          </w:tcPr>
          <w:p w:rsidR="0001400B" w:rsidRDefault="0001400B"/>
        </w:tc>
        <w:tc>
          <w:tcPr>
            <w:tcW w:w="1205" w:type="pct"/>
          </w:tcPr>
          <w:p w:rsidR="0001400B" w:rsidRDefault="0001400B">
            <w:pPr>
              <w:pStyle w:val="DecimalAligned"/>
            </w:pPr>
          </w:p>
        </w:tc>
        <w:tc>
          <w:tcPr>
            <w:tcW w:w="1205" w:type="pct"/>
          </w:tcPr>
          <w:p w:rsidR="0001400B" w:rsidRDefault="0001400B">
            <w:pPr>
              <w:pStyle w:val="DecimalAligned"/>
            </w:pPr>
          </w:p>
        </w:tc>
        <w:tc>
          <w:tcPr>
            <w:tcW w:w="1206" w:type="pct"/>
          </w:tcPr>
          <w:p w:rsidR="0001400B" w:rsidRDefault="0001400B">
            <w:pPr>
              <w:pStyle w:val="DecimalAligned"/>
            </w:pPr>
          </w:p>
        </w:tc>
      </w:tr>
      <w:tr w:rsidR="0001400B" w:rsidTr="00230E17">
        <w:tc>
          <w:tcPr>
            <w:tcW w:w="1384" w:type="pct"/>
            <w:noWrap/>
          </w:tcPr>
          <w:p w:rsidR="0001400B" w:rsidRDefault="0001400B"/>
        </w:tc>
        <w:tc>
          <w:tcPr>
            <w:tcW w:w="1205" w:type="pct"/>
          </w:tcPr>
          <w:p w:rsidR="0001400B" w:rsidRDefault="0001400B">
            <w:pPr>
              <w:pStyle w:val="DecimalAligned"/>
            </w:pPr>
          </w:p>
        </w:tc>
        <w:tc>
          <w:tcPr>
            <w:tcW w:w="1205" w:type="pct"/>
          </w:tcPr>
          <w:p w:rsidR="0001400B" w:rsidRDefault="0001400B">
            <w:pPr>
              <w:pStyle w:val="DecimalAligned"/>
            </w:pPr>
          </w:p>
        </w:tc>
        <w:tc>
          <w:tcPr>
            <w:tcW w:w="1206" w:type="pct"/>
          </w:tcPr>
          <w:p w:rsidR="0001400B" w:rsidRDefault="0001400B">
            <w:pPr>
              <w:pStyle w:val="DecimalAligned"/>
            </w:pPr>
          </w:p>
        </w:tc>
      </w:tr>
      <w:tr w:rsidR="0001400B" w:rsidTr="00230E17">
        <w:tc>
          <w:tcPr>
            <w:tcW w:w="1384" w:type="pct"/>
            <w:noWrap/>
          </w:tcPr>
          <w:p w:rsidR="0001400B" w:rsidRDefault="0001400B">
            <w:bookmarkStart w:id="0" w:name="_GoBack"/>
            <w:bookmarkEnd w:id="0"/>
          </w:p>
        </w:tc>
        <w:tc>
          <w:tcPr>
            <w:tcW w:w="1205" w:type="pct"/>
          </w:tcPr>
          <w:p w:rsidR="0001400B" w:rsidRDefault="0001400B">
            <w:pPr>
              <w:pStyle w:val="DecimalAligned"/>
            </w:pPr>
          </w:p>
        </w:tc>
        <w:tc>
          <w:tcPr>
            <w:tcW w:w="1205" w:type="pct"/>
          </w:tcPr>
          <w:p w:rsidR="0001400B" w:rsidRDefault="0001400B">
            <w:pPr>
              <w:pStyle w:val="DecimalAligned"/>
            </w:pPr>
          </w:p>
        </w:tc>
        <w:tc>
          <w:tcPr>
            <w:tcW w:w="1206" w:type="pct"/>
          </w:tcPr>
          <w:p w:rsidR="0001400B" w:rsidRDefault="0001400B">
            <w:pPr>
              <w:pStyle w:val="DecimalAligned"/>
            </w:pPr>
          </w:p>
        </w:tc>
      </w:tr>
      <w:tr w:rsidR="0001400B" w:rsidTr="00230E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pct"/>
            <w:noWrap/>
          </w:tcPr>
          <w:p w:rsidR="0001400B" w:rsidRDefault="0001400B"/>
        </w:tc>
        <w:tc>
          <w:tcPr>
            <w:tcW w:w="1205" w:type="pct"/>
          </w:tcPr>
          <w:p w:rsidR="0001400B" w:rsidRDefault="0001400B">
            <w:pPr>
              <w:pStyle w:val="DecimalAligned"/>
            </w:pPr>
          </w:p>
        </w:tc>
        <w:tc>
          <w:tcPr>
            <w:tcW w:w="1205" w:type="pct"/>
          </w:tcPr>
          <w:p w:rsidR="0001400B" w:rsidRDefault="0001400B">
            <w:pPr>
              <w:pStyle w:val="DecimalAligned"/>
            </w:pPr>
          </w:p>
        </w:tc>
        <w:tc>
          <w:tcPr>
            <w:tcW w:w="1206" w:type="pct"/>
          </w:tcPr>
          <w:p w:rsidR="0001400B" w:rsidRDefault="0001400B">
            <w:pPr>
              <w:pStyle w:val="DecimalAligned"/>
            </w:pPr>
          </w:p>
        </w:tc>
      </w:tr>
    </w:tbl>
    <w:p w:rsidR="0001400B" w:rsidRDefault="00230E17">
      <w:pPr>
        <w:pStyle w:val="Tekstfusnote"/>
      </w:pPr>
      <w:proofErr w:type="spellStart"/>
      <w:proofErr w:type="gramStart"/>
      <w:r>
        <w:t>Izvor</w:t>
      </w:r>
      <w:proofErr w:type="spellEnd"/>
      <w:r>
        <w:t xml:space="preserve"> :</w:t>
      </w:r>
      <w:proofErr w:type="gramEnd"/>
      <w:r>
        <w:t xml:space="preserve">  EOJN</w:t>
      </w:r>
    </w:p>
    <w:p w:rsidR="00AB5330" w:rsidRDefault="00AB5330"/>
    <w:p w:rsidR="00230E17" w:rsidRDefault="00230E17"/>
    <w:p w:rsidR="00230E17" w:rsidRDefault="00230E17">
      <w:r>
        <w:t xml:space="preserve">NAPOMENA:  </w:t>
      </w:r>
    </w:p>
    <w:p w:rsidR="00230E17" w:rsidRDefault="00230E17">
      <w:r>
        <w:t>U iz</w:t>
      </w:r>
      <w:r w:rsidR="00047E5F">
        <w:t>nos nije uračunat PDV.</w:t>
      </w:r>
    </w:p>
    <w:p w:rsidR="00047E5F" w:rsidRDefault="00047E5F"/>
    <w:p w:rsidR="00047E5F" w:rsidRDefault="00047E5F">
      <w:r>
        <w:t>Sukladno odredbi čl.12 Pravilnika o provedbi postupka jednostavne nabave Prirodoslovno-grafičke škole,</w:t>
      </w:r>
    </w:p>
    <w:p w:rsidR="00047E5F" w:rsidRDefault="00047E5F">
      <w:r>
        <w:t>objavljuju se podaci iz jednostavne nabave čija je vrijednost jednaka ili veća od 20.000,00 kn – na službenoj internetskoj stranici škole.</w:t>
      </w:r>
    </w:p>
    <w:p w:rsidR="00047E5F" w:rsidRDefault="00047E5F"/>
    <w:p w:rsidR="00047E5F" w:rsidRDefault="00047E5F">
      <w:r>
        <w:t>Podaci iz ove evidencije bit će dostupni na službenoj stranici do isteka 2021.g.</w:t>
      </w:r>
    </w:p>
    <w:p w:rsidR="00047E5F" w:rsidRDefault="00047E5F"/>
    <w:p w:rsidR="00047E5F" w:rsidRDefault="00047E5F"/>
    <w:p w:rsidR="00047E5F" w:rsidRDefault="00047E5F"/>
    <w:p w:rsidR="00047E5F" w:rsidRDefault="00047E5F"/>
    <w:p w:rsidR="00047E5F" w:rsidRDefault="00047E5F"/>
    <w:p w:rsidR="00230E17" w:rsidRDefault="00230E17"/>
    <w:sectPr w:rsidR="00230E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0B"/>
    <w:rsid w:val="0001400B"/>
    <w:rsid w:val="00047E5F"/>
    <w:rsid w:val="00230E17"/>
    <w:rsid w:val="002F2454"/>
    <w:rsid w:val="00551596"/>
    <w:rsid w:val="00874FF0"/>
    <w:rsid w:val="00A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A5C5"/>
  <w15:chartTrackingRefBased/>
  <w15:docId w15:val="{2F8D2130-6822-4CC2-9B91-24625431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1400B"/>
    <w:pPr>
      <w:tabs>
        <w:tab w:val="decimal" w:pos="360"/>
      </w:tabs>
      <w:spacing w:after="200" w:line="276" w:lineRule="auto"/>
    </w:pPr>
    <w:rPr>
      <w:rFonts w:eastAsiaTheme="minorEastAsia" w:cs="Times New Roman"/>
      <w:noProof w:val="0"/>
      <w:lang w:val="en-US"/>
    </w:rPr>
  </w:style>
  <w:style w:type="paragraph" w:styleId="Tekstfusnote">
    <w:name w:val="footnote text"/>
    <w:basedOn w:val="Normal"/>
    <w:link w:val="TekstfusnoteChar"/>
    <w:uiPriority w:val="99"/>
    <w:unhideWhenUsed/>
    <w:rsid w:val="0001400B"/>
    <w:rPr>
      <w:rFonts w:eastAsiaTheme="minorEastAsia" w:cs="Times New Roman"/>
      <w:noProof w:val="0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1400B"/>
    <w:rPr>
      <w:rFonts w:eastAsiaTheme="minorEastAsia" w:cs="Times New Roman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01400B"/>
    <w:rPr>
      <w:i/>
      <w:iCs/>
    </w:rPr>
  </w:style>
  <w:style w:type="table" w:styleId="Srednjesjenanje2-Isticanje5">
    <w:name w:val="Medium Shading 2 Accent 5"/>
    <w:basedOn w:val="Obinatablica"/>
    <w:uiPriority w:val="64"/>
    <w:rsid w:val="0001400B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</dc:creator>
  <cp:keywords/>
  <dc:description/>
  <cp:lastModifiedBy>Tesa</cp:lastModifiedBy>
  <cp:revision>1</cp:revision>
  <dcterms:created xsi:type="dcterms:W3CDTF">2021-02-11T11:36:00Z</dcterms:created>
  <dcterms:modified xsi:type="dcterms:W3CDTF">2021-02-11T12:09:00Z</dcterms:modified>
</cp:coreProperties>
</file>